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fdbdbc9c439480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15938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ZVONIMIRA FRANKA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2.221.666,99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2.432.018,21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2.130.383,08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2.476.058,70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44.040,49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99.025,22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90.963,56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99.025,22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90.963,56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7.741,31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135.004,05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1743,9</w:t>
            </w:r>
          </w:p>
        </w:tc>
      </w:tr>
    </w:tbl>
    <w:p>
      <w:pPr>
        <w:spacing w:before="0" w:after="0"/>
      </w:pPr>
    </w:p>
    <w:p>
      <w:r>
        <w:t xml:space="preserve">Rok za predaju Financijskog izvještaja za razdoblje od 1.1.2025. do 31.12.2025. je 02.02.2026. U ovom izvještajnom razdoblju ističe se trošak rekonstrukcije garaže i parkirališta, Ministarstvo znanosti i obrazovanja i dalje financira prehranu učenika dok produženi boravak financiraju roditelji. U financijskom planu za 2025. godinu Osnivač, grad Kutina je odobrio sredstva za nabavu službenog automobila. Primljena je  donacija u iznosu od 20.000,00 EUR koja je namijenjena za potrebnu opremu i sitni inventar  u školi. Financijskim izvještajem utvrđen je manjak u obračunskom razdoblju zbog novog načina evidentiranja-knjiženja troška plaća tako da je do  31.12.2025. evidentirana i plaća za 12/2025 pod troškove, dok će se prihod evidentirati u 2026. godini prilikom isplate.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2.221.666,99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2.432.018,21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bl>
    <w:p>
      <w:pPr>
        <w:spacing w:before="0" w:after="0"/>
      </w:pPr>
    </w:p>
    <w:p>
      <w:r>
        <w:t xml:space="preserv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1.751.966,15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1.899.022,89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ifra 636 - Pomoći proračunskim korisnicima iz proračuna koji im nije nadležan ukupno 1.899.022,89 € a odnosi se na:</w:t>
      </w:r>
    </w:p>
    <w:p>
      <w:r>
        <w:t xml:space="preserve">- 6361 prihodi od MZO za plaće i naknade zaposlenima u iznosu od 1.725.295,09 €.</w:t>
      </w:r>
    </w:p>
    <w:p>
      <w:r>
        <w:t xml:space="preserve">- 6361 prihod za prijevoz učenika s teškoćama u razvoju i didaktiku u iznosu od  57.576,49 €,                                                                                           -6361 prihod za nabavu radnih udžbenika 22.849,58 €</w:t>
      </w:r>
    </w:p>
    <w:p>
      <w:r>
        <w:t xml:space="preserve">- 6361 prihod za troškove prehrane učenika 87.338,44 €,                                                                             </w:t>
      </w:r>
    </w:p>
    <w:p>
      <w:r>
        <w:t xml:space="preserve">- 6361 prihodi za natjecanja i nabavu higijenskih potrepština 847,32 €.                                                    </w:t>
      </w:r>
    </w:p>
    <w:p>
      <w:r>
        <w:t xml:space="preserve">- 6362 kapitalne pomoći proračunskim korisnicima iskazan je prihod za knjige za šk. godinu 2024/2025. te prihod za nabavu lektire i udžbenika u ukupnom iznosu od 4.375,97 €.  </w:t>
      </w:r>
    </w:p>
    <w:p>
      <w:r>
        <w:t xml:space="preserve">Ukupni prihodi na računu 636 veći su u odnosu na prethodnu godinu za 8,4% zbog povećanja osnovice plaće te cijene namirnica.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58.983,94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69.176,50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r>
        <w:t xml:space="preserve">-6381 pomoći temeljem prijenosa EU sredstava evidentirani su prihodi za plaće i naknade pomoćnika u nastavi. Do povećanja prihoda u odnosu na prethodni izvještajno razdoblje došlo je zbog produljenja ugovora Pomoćnicima zbog kojeg je dodatni trošak plaća za srpanj i kolovoz.</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23.830,16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25.753,18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- 6526  prihodi za program produženog boravaka u iznosu od 25.753,18 € U odnosu na prethodno izvještajno razdoblje prihodi su nešto povećani zbog većeg broja učenika uključenih u program produženog boravka.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bl>
    <w:p>
      <w:pPr>
        <w:spacing w:before="0" w:after="0"/>
      </w:pPr>
    </w:p>
    <w:p>
      <w:r>
        <w:t xml:space="preserve">-6614 prihodi od prodaje starog papira 103,00€.                                                                                                                                                              -6615  prihodi od iznajmljivanja školske sportske dvorane u iznosu od 1.630,16 €.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516,0</w:t>
            </w:r>
          </w:p>
        </w:tc>
      </w:tr>
    </w:tbl>
    <w:p>
      <w:pPr>
        <w:spacing w:before="0" w:after="0"/>
      </w:pPr>
    </w:p>
    <w:p>
      <w:r>
        <w:t xml:space="preserve"> - 6631-tekuće donacije u iznosu od 8.769,70€ sastoje se od Školskog sportskog saveza SMŽ učiteljima TZK za sudjelovanje na županijskim sportskim natjecanjima. Tekuće donacije od turističkih agencija - temeljem ugovora o provedbi izleta i ekskurzija  te donacija od fizičkih osoba-prodaja ukrasa i ostalih rukotvorina školske Zadruge</w:t>
      </w:r>
    </w:p>
    <w:p>
      <w:r>
        <w:t xml:space="preserve">- 6362 te kapitalna donacija Zaklade Novo sutra i Hercegove trgovine d.o.o.  u iznosu od 16.173,75€</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380.517,15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411.389,03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671 - Prihodi iz nadležnog proračuna za financiranje redovne djelatnosti proračunskih korisnika  za financiranje rashoda poslovanja iznose  411.389,03€.  Prihoda za nabavu nefinancijske imovine do 31.12.2025.g. je bilo 66.690,01 € koji se sastoji od prihoda za nabavu novog službenog vozila, klima uređaja dodatnim ulaganjima u građevinske objekte(izmjena lima na garažama) . Unatoč tome prihodi iz nadležnog proračuna veći su u odnosu na isto izvještajno razdoblje prošle godine jer su početkom 2025. godine poduzete sigurnosne mjere ulaska u školu koje su rezultirale dodatnim troškovima u tekućim i investicijskim ulaganjima financiranih iz nadležnog proračuna.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1.404.190,82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1.642.854,95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Rashodi za zaposlene veći su u odnosu na prethodno izvještajno razdoblje zbog povećanja osnovice  za plaće zaposlenih  na snazi od 01.03.2025. te također od 01.09.2025. također trošak je veći zbog novog propisanog načina evidentiranja troškova na kraju izvještajnog razdoblja.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1.352.712,94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1.610.060,73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Rashodi za zaposlene veći su u odnosu na prethodno izvještajno razdoblje zbog povećanja osnovice  za plaće zaposlenih  na snazi od 01.03.2025. te također od 01.09.2025. također trošak je veći zbog novog propisanog načina evidentiranja troškova na kraju izvještajnog razdoblja.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34.624,16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w:t>
            </w:r>
          </w:p>
        </w:tc>
      </w:tr>
    </w:tbl>
    <w:p>
      <w:pPr>
        <w:spacing w:before="0" w:after="0"/>
      </w:pPr>
    </w:p>
    <w:p>
      <w:r>
        <w:t xml:space="preserve">Trošak plaće za prekovremeni rad se smanjio za gotovo 50% zbog manje prekovremenih sati u radu nastavničkog kolektiva.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59.846,91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66.912,01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U 2025. godini trošak isplata materijalnih prava zaposlenima bilježi povećanje od 11,8% u odnosu na prošlo proračunsko razdoblje, u vidu otpremnina, naknada za bolovanje ,novčanih  potpora  za smrt te jubilarnih nagrada novim osnovicama, povećavaju se i iznosi naknada.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31.067,85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37.347,85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bl>
    <w:p>
      <w:pPr>
        <w:spacing w:before="0" w:after="0"/>
      </w:pPr>
    </w:p>
    <w:p>
      <w:r>
        <w:t xml:space="preserve">Povećanje Naknade za prijevoz, za rad na terenu i odvojeni život se povećao za 20,2% u 2025. godini zbog dvije nove zaposlenice koje ostvaruju pravo na isplatu naknade dok bivše zaposlenice nisu ostvarivale prava na  naknadu za prijevoz.</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23.973,71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w:t>
            </w:r>
          </w:p>
        </w:tc>
      </w:tr>
    </w:tbl>
    <w:p>
      <w:pPr>
        <w:spacing w:before="0" w:after="0"/>
      </w:pPr>
    </w:p>
    <w:p>
      <w:r>
        <w:t xml:space="preserve">Povećanje u 2025. godini za 25,2% troškova uredskog materijala i ostalih materijalnih rashoda je rezultat poskupljenja na tržištu u odnosu na prošlu izvještajnu godinu te povećane potrebe.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22.521,25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45.086,80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w:t>
            </w:r>
          </w:p>
        </w:tc>
      </w:tr>
    </w:tbl>
    <w:p>
      <w:pPr>
        <w:spacing w:before="0" w:after="0"/>
      </w:pPr>
    </w:p>
    <w:p>
      <w:r>
        <w:t xml:space="preserve">Usluge tekućeg i investicijskog održavanja su se poduplale s obzirom na prošlo izvještajno razdoblje zbog održavanja Videonadzora u PŠ Ilova, Radovima na rekonstrukciji limene garaže, Izmjene brava na vratima iz sigurnosnih mjera itd.</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484,7</w:t>
            </w:r>
          </w:p>
        </w:tc>
      </w:tr>
    </w:tbl>
    <w:p>
      <w:pPr>
        <w:spacing w:before="0" w:after="0"/>
      </w:pPr>
    </w:p>
    <w:p>
      <w:r>
        <w:t xml:space="preserve">Premije osiguranja bilježe povećanje za 801,34€ Zbog auto osiguranja za novi automobil koji je nabavljen u 2025. godini.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129,8</w:t>
            </w:r>
          </w:p>
        </w:tc>
      </w:tr>
    </w:tbl>
    <w:p>
      <w:pPr>
        <w:spacing w:before="0" w:after="0"/>
      </w:pPr>
    </w:p>
    <w:p>
      <w:r>
        <w:t xml:space="preserve">Povećanje tekućih donacija se povećala za gotovo 30% u odnosu na prošlu 2025. godinu zbog više donacija od strane kolektiva i učenika Osnovne škole Zvonimira Franka prema Caritasu koje je uplaćeno preko škole (Riznice Grada Kutine)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23.817,18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176.263,00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740,1</w:t>
            </w:r>
          </w:p>
        </w:tc>
      </w:tr>
    </w:tbl>
    <w:p>
      <w:pPr>
        <w:spacing w:before="0" w:after="0"/>
      </w:pPr>
    </w:p>
    <w:p>
      <w:r>
        <w:t xml:space="preserve">Obračunati prihodi poslovanja a nenaplaćeni bilježe drastičan porast u odnosu na 2025. godinu zbog novog propisanog načina knjiženja potraživanja EU sredstava namijenjenih u ovom slučaju za plaće Pomoćnika u nastavi.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15.464,61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33.851,46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218,9</w:t>
            </w:r>
          </w:p>
        </w:tc>
      </w:tr>
    </w:tbl>
    <w:p>
      <w:pPr>
        <w:spacing w:before="0" w:after="0"/>
      </w:pPr>
    </w:p>
    <w:p>
      <w:r>
        <w:t xml:space="preserve">Povećanje troška nabave uredske opreme i namještaja se povećala zbog opremanja učionica novim školskim klupama, stolicama i katedrama.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243,2</w:t>
            </w:r>
          </w:p>
        </w:tc>
      </w:tr>
    </w:tbl>
    <w:p>
      <w:pPr>
        <w:spacing w:before="0" w:after="0"/>
      </w:pPr>
    </w:p>
    <w:p>
      <w:r>
        <w:t xml:space="preserve">143,2% se povećao trošak nabave opreme za održavanje i zaštitu zbog uvođenja novih sigurnosnih mjera pri ulasku u školu. U 2025. godini mijenjale su se brave na ulaznim vratima, poboljšavao videonadzor sve u svrhu sigurnosti prostora u kojem borave učenici škole.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285,4</w:t>
            </w:r>
          </w:p>
        </w:tc>
      </w:tr>
    </w:tbl>
    <w:p>
      <w:pPr>
        <w:spacing w:before="0" w:after="0"/>
      </w:pPr>
    </w:p>
    <w:p>
      <w:r>
        <w:t xml:space="preserve">Trošak nabave knjiga se povećao zbog dotrajalosti starih udžbenika te veće potrebe za novim.</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155.639,74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manjak od 155.639,74€ je rezultat financijskog izvještaja ukupnih prihoda i rashoda zbog novog načina evidentiranja troškova za 12 mjesec za koje će se ostavriti prihod u 2026. godini. manjak se sastoji od plaća zaposlenika i troškova poslovanja za mjesec prosinac a za koje će biti ostvaren prihod tek u siječnju 2026.</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3.239.765,30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3.261.062,95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r>
        <w:t xml:space="preserve">Poslovni objekti bilježe povećanje vrijednosti zbog ulaganja u novu Garažu od lima u dvorištu  Osnovne škole Zvonimira Franka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21.095,01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w:t>
            </w:r>
          </w:p>
        </w:tc>
      </w:tr>
    </w:tbl>
    <w:p>
      <w:pPr>
        <w:spacing w:before="0" w:after="0"/>
      </w:pPr>
    </w:p>
    <w:p>
      <w:r>
        <w:t xml:space="preserve">Nabave nove opreme za videonadzor i zaštite pri ulasku u školu povećavanju vrijednost Opreme za održavanje i zaštitu.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23.155,23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w:t>
            </w:r>
          </w:p>
        </w:tc>
      </w:tr>
    </w:tbl>
    <w:p>
      <w:pPr>
        <w:spacing w:before="0" w:after="0"/>
      </w:pPr>
    </w:p>
    <w:p>
      <w:r>
        <w:t xml:space="preserve">- potraživanja na dan 31.12.2025.g.odnose se na potraživanja za bolovanja na teret HZZO-a u iznosu od 5.997,30 €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76.859,99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216.570,07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281,8</w:t>
            </w:r>
          </w:p>
        </w:tc>
      </w:tr>
    </w:tbl>
    <w:p>
      <w:pPr>
        <w:spacing w:before="0" w:after="0"/>
      </w:pPr>
    </w:p>
    <w:p>
      <w:r>
        <w:t xml:space="preserve">Potraživanja za prihode poslovanja su se drastično povećala u odnosu na prošli izvještajno razdoblje zbog novog načina evidentiranja potraživanja za sredstvima iz EU projekata i novom načinu izvješćivanja.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w:t>
            </w:r>
          </w:p>
        </w:tc>
      </w:tr>
    </w:tbl>
    <w:p>
      <w:pPr>
        <w:spacing w:before="0" w:after="0"/>
      </w:pPr>
    </w:p>
    <w:p>
      <w:r>
        <w:t xml:space="preserve">Rukometni klub koji iznajmljuje dvoranu od 09.2025. nije podmirio niti jedan račun za najam, telefonski je opomenut, podmirio je račune u siječnju 2026. godine.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-155.639,74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-2537,2</w:t>
            </w:r>
          </w:p>
        </w:tc>
      </w:tr>
    </w:tbl>
    <w:p>
      <w:pPr>
        <w:spacing w:before="0" w:after="0"/>
      </w:pPr>
    </w:p>
    <w:p>
      <w:r>
        <w:t xml:space="preserve">Ukupan manjak od 155.639,74€ je rezultat financijskog izvještaja ukupnih prihoda i rashoda zbog novog načina evidentiranja troškova za 12 mjesec za koje će se ostavriti prihod u 2026. godini. manjak se sastoji od plaća zaposlenika i troškova poslovanja za mjesec prosinac a za koje će biti ostvaren prihod tek u siječnju 2026.</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156.396,37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plaću 12-2025 od strane Ministarstva znanosti i obrazovanja u iznosu od 156.396,37 €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15.325,78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Novi način evidentiranja potraživanja sredstava iz EU projekata bilježi evidenciju na računu 9638 u iznosu 15.325,78€</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2.140.529,49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2.476.997,58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w:t>
            </w:r>
          </w:p>
        </w:tc>
      </w:tr>
    </w:tbl>
    <w:p>
      <w:pPr>
        <w:spacing w:before="0" w:after="0"/>
      </w:pPr>
    </w:p>
    <w:p>
      <w:r>
        <w:t xml:space="preserve">Većinski dio sredstava utrošen je na Osnovno obrazovanje u iznosu od 2.476.997,58 €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88.878,81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90.024,68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w:t>
            </w:r>
          </w:p>
        </w:tc>
      </w:tr>
    </w:tbl>
    <w:p>
      <w:pPr>
        <w:spacing w:before="0" w:after="0"/>
      </w:pPr>
    </w:p>
    <w:p>
      <w:r>
        <w:t xml:space="preserve">Dodatne usluge u obrazovanju  iskazan rashod za namirnice za prehranu učenika financirane od strane MZO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58.770,73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Okružnici MINISTARSTVA FINANCIJA propisan je novi način knjiženja ispravka vrijednosti dugotajne nefinancijske imovine pri čemu se koristi račun 91511 Promjene u vrijednosti imovine a u obrascu P-VRIO bilježi se kao smanjenje vrijednosti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u iznosu od 3.860,00€ bilježe dospijeće sa 31.12.2025. na računu, no zaprimljene su u računovodstvo nakon 31.12.2025. stoga su stavljeni na plaćanje odmah pri primitku u računovodstvo.</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199.079,82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V009 Obveze za nedospjele rashode poslovanja na kraju izvještajnog razdoblja iznose ukupno 199.079,82 € od  čega su:</w:t>
      </w:r>
    </w:p>
    <w:p>
      <w:r>
        <w:t xml:space="preserve">         - nedospjele obveze za refundaciju bolovanja na teret HZZO-a 4.332,03 €,</w:t>
      </w:r>
    </w:p>
    <w:p>
      <w:r>
        <w:t xml:space="preserve">         - nedospjele obveze na plaće i naknade zaposlenika 162.308.17 €,             </w:t>
      </w:r>
    </w:p>
    <w:p>
      <w:r>
        <w:t xml:space="preserve">         - nedospjele obveza za materijal, energiju i usluge 32.240,25 €,</w:t>
      </w:r>
    </w:p>
    <w:p>
      <w:r>
        <w:t xml:space="preserve">         - nedospjele obveze za naknade građanima i kućanstvima 189,28 €,</w:t>
      </w:r>
    </w:p>
    <w:p>
      <w:r>
        <w:t xml:space="preserve">         - obveze za više uplaćene ostale nespomenute prihode 10,09 €, € </w:t>
      </w:r>
    </w:p>
    <w:p/>
    <w:p>
      <w:pPr>
        <w:jc w:val="center"/>
        <w:pStyle w:val="Normal"/>
        <w:spacing w:line="240" w:lineRule="auto"/>
        <w:keepNext/>
      </w:pPr>
      <w:r>
        <w:rPr>
          <w:sz w:val="28"/>
          <w:rFonts w:ascii="Times New Roman" w:hAnsi="Times New Roman"/>
        </w:rPr>
        <w:t xml:space="preserve">Bilješka 36.</w:t>
      </w:r>
    </w:p>
    <w:p>
      <w:pPr>
        <w:jc w:val="both"/>
        <w:pStyle w:val="Normal"/>
        <w:spacing w:line="240" w:lineRule="auto"/>
      </w:pPr>
      <w:r>
        <w:rPr>
          <w:b/>
          <w:sz w:val="24"/>
          <w:rFonts w:ascii="Times New Roman" w:hAnsi="Times New Roman"/>
        </w:rPr>
        <w:t xml:space="preserve">EU izvještaj</w:t>
      </w:r>
    </w:p>
    <w:p>
      <w:r>
        <w:t xml:space="preserve">Ostvareni prihodi temeljem prijenosa EU sredstava iznose 69.176,50 € i knjiženi su kao zatvaranje potraživanja na računu 96381. Ukupan trošak EU projekta na teret EU izvora financiranja iznosi 84.502,28 €  odnosi se na plaće Pomoćnika u nastavi. Potraživanja su evidentirana na računima 16381 i 96381 te  saldo potraživanja iznosi 15.325,78€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bd7b49166154184" /></Relationships>
</file>